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64A5D" w:rsidP="00F43F1D">
      <w:pPr>
        <w:spacing w:line="560" w:lineRule="exact"/>
        <w:ind w:leftChars="1" w:left="1877" w:hangingChars="586" w:hanging="1875"/>
        <w:rPr>
          <w:rFonts w:ascii="黑体" w:eastAsia="黑体" w:hAnsi="黑体" w:hint="eastAsia"/>
          <w:sz w:val="32"/>
          <w:szCs w:val="32"/>
        </w:rPr>
      </w:pPr>
      <w:r>
        <w:rPr>
          <w:rFonts w:ascii="黑体" w:eastAsia="黑体" w:hAnsi="黑体" w:hint="eastAsia"/>
          <w:sz w:val="32"/>
          <w:szCs w:val="32"/>
        </w:rPr>
        <w:t>附</w:t>
      </w:r>
      <w:r>
        <w:rPr>
          <w:rFonts w:ascii="黑体" w:eastAsia="黑体" w:hAnsi="黑体" w:hint="eastAsia"/>
          <w:sz w:val="32"/>
          <w:szCs w:val="32"/>
        </w:rPr>
        <w:t>件</w:t>
      </w:r>
      <w:r>
        <w:rPr>
          <w:rFonts w:ascii="黑体" w:eastAsia="黑体" w:hAnsi="黑体" w:hint="eastAsia"/>
          <w:sz w:val="32"/>
          <w:szCs w:val="32"/>
        </w:rPr>
        <w:t>1</w:t>
      </w:r>
    </w:p>
    <w:p w:rsidR="00000000" w:rsidRDefault="00664A5D" w:rsidP="00F43F1D">
      <w:pPr>
        <w:spacing w:line="560" w:lineRule="exact"/>
        <w:ind w:leftChars="1" w:left="1877" w:hangingChars="586" w:hanging="1875"/>
        <w:rPr>
          <w:rFonts w:ascii="黑体" w:eastAsia="黑体" w:hAnsi="黑体" w:hint="eastAsia"/>
          <w:sz w:val="32"/>
          <w:szCs w:val="32"/>
        </w:rPr>
      </w:pPr>
    </w:p>
    <w:p w:rsidR="00000000" w:rsidRPr="00F43F1D" w:rsidRDefault="00664A5D" w:rsidP="00F43F1D">
      <w:pPr>
        <w:spacing w:line="560" w:lineRule="exact"/>
        <w:jc w:val="center"/>
        <w:rPr>
          <w:rFonts w:eastAsia="方正小标宋简体"/>
          <w:sz w:val="44"/>
          <w:szCs w:val="44"/>
        </w:rPr>
      </w:pPr>
      <w:r w:rsidRPr="00F43F1D">
        <w:rPr>
          <w:rFonts w:eastAsia="方正小标宋简体" w:hint="eastAsia"/>
          <w:sz w:val="44"/>
          <w:szCs w:val="44"/>
        </w:rPr>
        <w:t>甲氧氯普胺</w:t>
      </w:r>
      <w:r w:rsidRPr="00F43F1D">
        <w:rPr>
          <w:rFonts w:eastAsia="方正小标宋简体" w:hint="eastAsia"/>
          <w:sz w:val="44"/>
          <w:szCs w:val="44"/>
        </w:rPr>
        <w:t>片</w:t>
      </w:r>
      <w:r w:rsidRPr="00F43F1D">
        <w:rPr>
          <w:rFonts w:eastAsia="方正小标宋简体"/>
          <w:sz w:val="44"/>
          <w:szCs w:val="44"/>
        </w:rPr>
        <w:t>说明书修订要求</w:t>
      </w:r>
    </w:p>
    <w:p w:rsidR="00000000" w:rsidRPr="00F43F1D" w:rsidRDefault="00664A5D" w:rsidP="00F43F1D">
      <w:pPr>
        <w:spacing w:line="560" w:lineRule="exact"/>
        <w:jc w:val="center"/>
        <w:rPr>
          <w:rFonts w:eastAsia="方正小标宋简体"/>
          <w:sz w:val="40"/>
          <w:szCs w:val="44"/>
        </w:rPr>
      </w:pPr>
    </w:p>
    <w:p w:rsidR="00000000" w:rsidRPr="00F43F1D" w:rsidRDefault="00664A5D" w:rsidP="00F43F1D">
      <w:pPr>
        <w:spacing w:line="560" w:lineRule="exact"/>
        <w:ind w:firstLineChars="200" w:firstLine="640"/>
        <w:rPr>
          <w:rFonts w:ascii="黑体" w:eastAsia="黑体" w:hAnsi="黑体" w:cs="黑体" w:hint="eastAsia"/>
          <w:sz w:val="32"/>
          <w:szCs w:val="32"/>
        </w:rPr>
      </w:pPr>
      <w:r w:rsidRPr="00F43F1D">
        <w:rPr>
          <w:rFonts w:ascii="黑体" w:eastAsia="黑体" w:hAnsi="黑体" w:cs="黑体" w:hint="eastAsia"/>
          <w:sz w:val="32"/>
          <w:szCs w:val="32"/>
        </w:rPr>
        <w:t>（一）“警示语”应增加以下内容：</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甲氧氯普胺治疗可引起迟发性运动障碍，这通常是不可逆的。目前尚无有效的治疗方法。发生迟发性运动障碍的风险随治疗时间和总累积剂量的增加而增加。应避免长时间使用甲氧氯普胺。</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出现迟发性运动障碍的体征或症状的患者应马上停止甲氧氯普胺的治疗。在某些患者中，停止使用甲氧氯普胺治疗后症状可能会减轻或缓解</w:t>
      </w:r>
      <w:r w:rsidRPr="00F43F1D">
        <w:rPr>
          <w:rFonts w:eastAsia="仿宋_GB2312"/>
          <w:sz w:val="32"/>
          <w:szCs w:val="32"/>
        </w:rPr>
        <w:t>。</w:t>
      </w:r>
    </w:p>
    <w:p w:rsidR="00000000" w:rsidRPr="00F43F1D" w:rsidRDefault="00664A5D" w:rsidP="00F43F1D">
      <w:pPr>
        <w:spacing w:line="560" w:lineRule="exact"/>
        <w:ind w:firstLineChars="200" w:firstLine="640"/>
        <w:rPr>
          <w:rFonts w:eastAsia="黑体"/>
          <w:sz w:val="32"/>
          <w:szCs w:val="32"/>
        </w:rPr>
      </w:pPr>
      <w:r w:rsidRPr="00F43F1D">
        <w:rPr>
          <w:rFonts w:eastAsia="黑体"/>
          <w:sz w:val="32"/>
          <w:szCs w:val="32"/>
        </w:rPr>
        <w:t>（二）【不良反应】应包括以下内容：</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上市后不良反应监测数据显示甲氧氯普胺制剂可见以下不良反应</w:t>
      </w:r>
      <w:r w:rsidRPr="00F43F1D">
        <w:rPr>
          <w:rFonts w:eastAsia="仿宋_GB2312"/>
          <w:sz w:val="32"/>
          <w:szCs w:val="32"/>
        </w:rPr>
        <w:t>/</w:t>
      </w:r>
      <w:r w:rsidRPr="00F43F1D">
        <w:rPr>
          <w:rFonts w:eastAsia="仿宋_GB2312"/>
          <w:sz w:val="32"/>
          <w:szCs w:val="32"/>
        </w:rPr>
        <w:t>事件（发生率未知）：</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1.</w:t>
      </w:r>
      <w:r w:rsidRPr="00F43F1D">
        <w:rPr>
          <w:rFonts w:eastAsia="仿宋_GB2312"/>
          <w:sz w:val="32"/>
          <w:szCs w:val="32"/>
        </w:rPr>
        <w:t>神经系统损害：锥体外系反应（震颤、抽动、共济失调、运动障碍、肌肉骨骼强直、斜颈、肌肉不自主收缩、肌肉痉挛状态、肌无力、言语障碍）、头晕、嗜睡、头痛、困倦、感觉减退、迟发性运动障碍。</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2.</w:t>
      </w:r>
      <w:r w:rsidRPr="00F43F1D">
        <w:rPr>
          <w:rFonts w:eastAsia="仿宋_GB2312"/>
          <w:sz w:val="32"/>
          <w:szCs w:val="32"/>
        </w:rPr>
        <w:t>全身性损害：乏力、胸部不适、寒战、发热、疲乏、口渴。</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3.</w:t>
      </w:r>
      <w:r w:rsidRPr="00F43F1D">
        <w:rPr>
          <w:rFonts w:eastAsia="仿宋_GB2312"/>
          <w:sz w:val="32"/>
          <w:szCs w:val="32"/>
        </w:rPr>
        <w:t>精神障碍：烦躁不安、躁动、精神障碍、易激惹、失眠。</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4.</w:t>
      </w:r>
      <w:r w:rsidRPr="00F43F1D">
        <w:rPr>
          <w:rFonts w:eastAsia="仿宋_GB2312"/>
          <w:sz w:val="32"/>
          <w:szCs w:val="32"/>
        </w:rPr>
        <w:t>胃肠系统损害：恶心、呕吐、腹泻、腹痛、口干、便秘。</w:t>
      </w:r>
    </w:p>
    <w:p w:rsidR="00000000" w:rsidRPr="00F43F1D" w:rsidRDefault="00664A5D" w:rsidP="00F43F1D">
      <w:pPr>
        <w:spacing w:line="560" w:lineRule="exact"/>
        <w:ind w:firstLineChars="200" w:firstLine="640"/>
        <w:rPr>
          <w:rFonts w:eastAsia="仿宋_GB2312"/>
          <w:spacing w:val="-11"/>
          <w:sz w:val="32"/>
          <w:szCs w:val="32"/>
        </w:rPr>
      </w:pPr>
      <w:r w:rsidRPr="00F43F1D">
        <w:rPr>
          <w:rFonts w:eastAsia="仿宋_GB2312"/>
          <w:sz w:val="32"/>
          <w:szCs w:val="32"/>
        </w:rPr>
        <w:t>5.</w:t>
      </w:r>
      <w:r w:rsidRPr="00F43F1D">
        <w:rPr>
          <w:rFonts w:eastAsia="仿宋_GB2312"/>
          <w:sz w:val="32"/>
          <w:szCs w:val="32"/>
        </w:rPr>
        <w:t>皮</w:t>
      </w:r>
      <w:r w:rsidRPr="00F43F1D">
        <w:rPr>
          <w:rFonts w:eastAsia="仿宋_GB2312"/>
          <w:spacing w:val="-11"/>
          <w:sz w:val="32"/>
          <w:szCs w:val="32"/>
        </w:rPr>
        <w:t>肤及皮下组织损害：皮疹、瘙痒症</w:t>
      </w:r>
      <w:r w:rsidRPr="00F43F1D">
        <w:rPr>
          <w:rFonts w:eastAsia="仿宋_GB2312"/>
          <w:spacing w:val="-11"/>
          <w:sz w:val="32"/>
          <w:szCs w:val="32"/>
        </w:rPr>
        <w:t>、多汗、荨麻疹、潮红。</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lastRenderedPageBreak/>
        <w:t>6.</w:t>
      </w:r>
      <w:r w:rsidRPr="00F43F1D">
        <w:rPr>
          <w:rFonts w:eastAsia="仿宋_GB2312"/>
          <w:sz w:val="32"/>
          <w:szCs w:val="32"/>
        </w:rPr>
        <w:t>呼吸系统损害：呼吸困难、呼吸急促、窒息感。</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7.</w:t>
      </w:r>
      <w:r w:rsidRPr="00F43F1D">
        <w:rPr>
          <w:rFonts w:eastAsia="仿宋_GB2312"/>
          <w:sz w:val="32"/>
          <w:szCs w:val="32"/>
        </w:rPr>
        <w:t>免疫系统损害：超敏反应、过敏样反应、过敏性休克。</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8.</w:t>
      </w:r>
      <w:r w:rsidRPr="00F43F1D">
        <w:rPr>
          <w:rFonts w:eastAsia="仿宋_GB2312"/>
          <w:sz w:val="32"/>
          <w:szCs w:val="32"/>
        </w:rPr>
        <w:t>其他：心悸、心慌、视觉损害、斜视、发音困难。</w:t>
      </w:r>
    </w:p>
    <w:p w:rsidR="00000000" w:rsidRPr="00F43F1D" w:rsidRDefault="00664A5D" w:rsidP="00F43F1D">
      <w:pPr>
        <w:spacing w:line="560" w:lineRule="exact"/>
        <w:ind w:firstLineChars="200" w:firstLine="640"/>
        <w:rPr>
          <w:rFonts w:eastAsia="黑体"/>
          <w:sz w:val="32"/>
          <w:szCs w:val="32"/>
        </w:rPr>
      </w:pPr>
      <w:r w:rsidRPr="00F43F1D">
        <w:rPr>
          <w:rFonts w:eastAsia="黑体"/>
          <w:sz w:val="32"/>
          <w:szCs w:val="32"/>
        </w:rPr>
        <w:t>（三）【禁忌】应包括以下内容：</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2</w:t>
      </w:r>
      <w:r w:rsidRPr="00F43F1D">
        <w:rPr>
          <w:rFonts w:eastAsia="仿宋_GB2312"/>
          <w:sz w:val="32"/>
          <w:szCs w:val="32"/>
        </w:rPr>
        <w:t>岁以下儿童禁用。</w:t>
      </w:r>
    </w:p>
    <w:p w:rsidR="00000000" w:rsidRPr="00F43F1D" w:rsidRDefault="00664A5D" w:rsidP="00F43F1D">
      <w:pPr>
        <w:spacing w:line="560" w:lineRule="exact"/>
        <w:ind w:firstLineChars="200" w:firstLine="640"/>
        <w:rPr>
          <w:rFonts w:eastAsia="黑体"/>
          <w:sz w:val="32"/>
          <w:szCs w:val="32"/>
        </w:rPr>
      </w:pPr>
      <w:r w:rsidRPr="00F43F1D">
        <w:rPr>
          <w:rFonts w:eastAsia="黑体"/>
          <w:sz w:val="32"/>
          <w:szCs w:val="32"/>
        </w:rPr>
        <w:t>（四）【注意事项】应包括以下内容：</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1.12</w:t>
      </w:r>
      <w:r w:rsidRPr="00F43F1D">
        <w:rPr>
          <w:rFonts w:eastAsia="仿宋_GB2312"/>
          <w:sz w:val="32"/>
          <w:szCs w:val="32"/>
        </w:rPr>
        <w:t>岁以下及</w:t>
      </w:r>
      <w:r w:rsidRPr="00F43F1D">
        <w:rPr>
          <w:rFonts w:eastAsia="仿宋_GB2312"/>
          <w:sz w:val="32"/>
          <w:szCs w:val="32"/>
        </w:rPr>
        <w:t>65</w:t>
      </w:r>
      <w:r w:rsidRPr="00F43F1D">
        <w:rPr>
          <w:rFonts w:eastAsia="仿宋_GB2312"/>
          <w:sz w:val="32"/>
          <w:szCs w:val="32"/>
        </w:rPr>
        <w:t>岁以上患者使用本品时应谨慎，密切观察患者的用药反应。</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2.</w:t>
      </w:r>
      <w:r w:rsidRPr="00F43F1D">
        <w:rPr>
          <w:rFonts w:eastAsia="仿宋_GB2312"/>
          <w:sz w:val="32"/>
          <w:szCs w:val="32"/>
        </w:rPr>
        <w:t>避免合用可能引起锥体外系反应的药物。</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3.</w:t>
      </w:r>
      <w:r w:rsidRPr="00F43F1D">
        <w:rPr>
          <w:rFonts w:eastAsia="仿宋_GB2312"/>
          <w:sz w:val="32"/>
          <w:szCs w:val="32"/>
        </w:rPr>
        <w:t>建议使用时间不要超过</w:t>
      </w:r>
      <w:r w:rsidRPr="00F43F1D">
        <w:rPr>
          <w:rFonts w:eastAsia="仿宋_GB2312"/>
          <w:sz w:val="32"/>
          <w:szCs w:val="32"/>
        </w:rPr>
        <w:t>14</w:t>
      </w:r>
      <w:r w:rsidRPr="00F43F1D">
        <w:rPr>
          <w:rFonts w:eastAsia="仿宋_GB2312"/>
          <w:sz w:val="32"/>
          <w:szCs w:val="32"/>
        </w:rPr>
        <w:t>天。</w:t>
      </w: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4.</w:t>
      </w:r>
      <w:r w:rsidRPr="00F43F1D">
        <w:rPr>
          <w:rFonts w:eastAsia="仿宋_GB2312"/>
          <w:sz w:val="32"/>
          <w:szCs w:val="32"/>
        </w:rPr>
        <w:t>甲氧氯普胺治疗可引起迟发性运动障碍，应避免长时间使用甲氧氯普胺。</w:t>
      </w:r>
    </w:p>
    <w:p w:rsidR="00000000" w:rsidRPr="00F43F1D" w:rsidRDefault="00664A5D" w:rsidP="00F43F1D">
      <w:pPr>
        <w:spacing w:line="560" w:lineRule="exact"/>
        <w:ind w:firstLineChars="200" w:firstLine="640"/>
        <w:rPr>
          <w:rFonts w:eastAsia="仿宋_GB2312"/>
          <w:sz w:val="32"/>
          <w:szCs w:val="32"/>
        </w:rPr>
      </w:pPr>
    </w:p>
    <w:p w:rsidR="00000000" w:rsidRPr="00F43F1D" w:rsidRDefault="00664A5D" w:rsidP="00F43F1D">
      <w:pPr>
        <w:spacing w:line="560" w:lineRule="exact"/>
        <w:ind w:firstLineChars="200" w:firstLine="640"/>
        <w:rPr>
          <w:rFonts w:eastAsia="仿宋_GB2312"/>
          <w:sz w:val="32"/>
          <w:szCs w:val="32"/>
        </w:rPr>
      </w:pPr>
      <w:r w:rsidRPr="00F43F1D">
        <w:rPr>
          <w:rFonts w:eastAsia="仿宋_GB2312"/>
          <w:sz w:val="32"/>
          <w:szCs w:val="32"/>
        </w:rPr>
        <w:t>（注：说明书其他内容如与上</w:t>
      </w:r>
      <w:r w:rsidRPr="00F43F1D">
        <w:rPr>
          <w:rFonts w:eastAsia="仿宋_GB2312"/>
          <w:sz w:val="32"/>
          <w:szCs w:val="32"/>
        </w:rPr>
        <w:t>述修订要求不一致的，应当一并进行修订。）</w:t>
      </w:r>
    </w:p>
    <w:p w:rsidR="00664A5D" w:rsidRPr="00F43F1D" w:rsidRDefault="00664A5D" w:rsidP="00980E50">
      <w:pPr>
        <w:spacing w:line="560" w:lineRule="exact"/>
        <w:ind w:leftChars="1" w:left="1643" w:hangingChars="586" w:hanging="1641"/>
        <w:rPr>
          <w:rFonts w:eastAsia="仿宋_GB2312"/>
          <w:sz w:val="28"/>
          <w:szCs w:val="28"/>
        </w:rPr>
      </w:pPr>
      <w:bookmarkStart w:id="0" w:name="_GoBack"/>
      <w:bookmarkEnd w:id="0"/>
    </w:p>
    <w:sectPr w:rsidR="00664A5D" w:rsidRPr="00F43F1D">
      <w:footerReference w:type="default" r:id="rId6"/>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A5D" w:rsidRDefault="00664A5D">
      <w:r>
        <w:separator/>
      </w:r>
    </w:p>
  </w:endnote>
  <w:endnote w:type="continuationSeparator" w:id="0">
    <w:p w:rsidR="00664A5D" w:rsidRDefault="0066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80E50">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664A5D">
                          <w:pPr>
                            <w:pStyle w:val="a5"/>
                            <w:rPr>
                              <w:rFonts w:hint="eastAsia"/>
                            </w:rPr>
                          </w:pPr>
                          <w:r w:rsidRPr="00F43F1D">
                            <w:rPr>
                              <w:rFonts w:hint="eastAsia"/>
                              <w:color w:val="FFFFFF"/>
                              <w:sz w:val="28"/>
                              <w:szCs w:val="28"/>
                            </w:rPr>
                            <w:t>—</w:t>
                          </w:r>
                          <w:r w:rsidRPr="00F43F1D">
                            <w:rPr>
                              <w:rFonts w:hint="eastAsia"/>
                              <w:sz w:val="28"/>
                              <w:szCs w:val="28"/>
                            </w:rPr>
                            <w:t>—</w:t>
                          </w:r>
                          <w:r w:rsidRPr="00F43F1D">
                            <w:rPr>
                              <w:rFonts w:hint="eastAsia"/>
                              <w:sz w:val="28"/>
                              <w:szCs w:val="28"/>
                            </w:rPr>
                            <w:t xml:space="preserve"> </w:t>
                          </w:r>
                          <w:r w:rsidRPr="00F43F1D">
                            <w:rPr>
                              <w:sz w:val="28"/>
                              <w:szCs w:val="28"/>
                            </w:rPr>
                            <w:fldChar w:fldCharType="begin"/>
                          </w:r>
                          <w:r w:rsidRPr="00F43F1D">
                            <w:rPr>
                              <w:sz w:val="28"/>
                              <w:szCs w:val="28"/>
                            </w:rPr>
                            <w:instrText xml:space="preserve"> PAGE  \* MERGEFORMAT </w:instrText>
                          </w:r>
                          <w:r w:rsidRPr="00F43F1D">
                            <w:rPr>
                              <w:sz w:val="28"/>
                              <w:szCs w:val="28"/>
                            </w:rPr>
                            <w:fldChar w:fldCharType="separate"/>
                          </w:r>
                          <w:r w:rsidR="00980E50">
                            <w:rPr>
                              <w:noProof/>
                              <w:sz w:val="28"/>
                              <w:szCs w:val="28"/>
                            </w:rPr>
                            <w:t>2</w:t>
                          </w:r>
                          <w:r w:rsidRPr="00F43F1D">
                            <w:rPr>
                              <w:sz w:val="28"/>
                              <w:szCs w:val="28"/>
                            </w:rPr>
                            <w:fldChar w:fldCharType="end"/>
                          </w:r>
                          <w:r w:rsidRPr="00F43F1D">
                            <w:rPr>
                              <w:rFonts w:hint="eastAsia"/>
                              <w:sz w:val="28"/>
                              <w:szCs w:val="28"/>
                            </w:rPr>
                            <w:t xml:space="preserve"> </w:t>
                          </w:r>
                          <w:r w:rsidRPr="00F43F1D">
                            <w:rPr>
                              <w:rFonts w:hint="eastAsia"/>
                              <w:sz w:val="28"/>
                              <w:szCs w:val="28"/>
                            </w:rPr>
                            <w:t>—</w:t>
                          </w:r>
                          <w:r w:rsidRPr="00F43F1D">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664A5D">
                    <w:pPr>
                      <w:pStyle w:val="a5"/>
                      <w:rPr>
                        <w:rFonts w:hint="eastAsia"/>
                      </w:rPr>
                    </w:pPr>
                    <w:r w:rsidRPr="00F43F1D">
                      <w:rPr>
                        <w:rFonts w:hint="eastAsia"/>
                        <w:color w:val="FFFFFF"/>
                        <w:sz w:val="28"/>
                        <w:szCs w:val="28"/>
                      </w:rPr>
                      <w:t>—</w:t>
                    </w:r>
                    <w:r w:rsidRPr="00F43F1D">
                      <w:rPr>
                        <w:rFonts w:hint="eastAsia"/>
                        <w:sz w:val="28"/>
                        <w:szCs w:val="28"/>
                      </w:rPr>
                      <w:t>—</w:t>
                    </w:r>
                    <w:r w:rsidRPr="00F43F1D">
                      <w:rPr>
                        <w:rFonts w:hint="eastAsia"/>
                        <w:sz w:val="28"/>
                        <w:szCs w:val="28"/>
                      </w:rPr>
                      <w:t xml:space="preserve"> </w:t>
                    </w:r>
                    <w:r w:rsidRPr="00F43F1D">
                      <w:rPr>
                        <w:sz w:val="28"/>
                        <w:szCs w:val="28"/>
                      </w:rPr>
                      <w:fldChar w:fldCharType="begin"/>
                    </w:r>
                    <w:r w:rsidRPr="00F43F1D">
                      <w:rPr>
                        <w:sz w:val="28"/>
                        <w:szCs w:val="28"/>
                      </w:rPr>
                      <w:instrText xml:space="preserve"> PAGE  \* MERGEFORMAT </w:instrText>
                    </w:r>
                    <w:r w:rsidRPr="00F43F1D">
                      <w:rPr>
                        <w:sz w:val="28"/>
                        <w:szCs w:val="28"/>
                      </w:rPr>
                      <w:fldChar w:fldCharType="separate"/>
                    </w:r>
                    <w:r w:rsidR="00980E50">
                      <w:rPr>
                        <w:noProof/>
                        <w:sz w:val="28"/>
                        <w:szCs w:val="28"/>
                      </w:rPr>
                      <w:t>2</w:t>
                    </w:r>
                    <w:r w:rsidRPr="00F43F1D">
                      <w:rPr>
                        <w:sz w:val="28"/>
                        <w:szCs w:val="28"/>
                      </w:rPr>
                      <w:fldChar w:fldCharType="end"/>
                    </w:r>
                    <w:r w:rsidRPr="00F43F1D">
                      <w:rPr>
                        <w:rFonts w:hint="eastAsia"/>
                        <w:sz w:val="28"/>
                        <w:szCs w:val="28"/>
                      </w:rPr>
                      <w:t xml:space="preserve"> </w:t>
                    </w:r>
                    <w:r w:rsidRPr="00F43F1D">
                      <w:rPr>
                        <w:rFonts w:hint="eastAsia"/>
                        <w:sz w:val="28"/>
                        <w:szCs w:val="28"/>
                      </w:rPr>
                      <w:t>—</w:t>
                    </w:r>
                    <w:r w:rsidRPr="00F43F1D">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A5D" w:rsidRDefault="00664A5D">
      <w:r>
        <w:separator/>
      </w:r>
    </w:p>
  </w:footnote>
  <w:footnote w:type="continuationSeparator" w:id="0">
    <w:p w:rsidR="00664A5D" w:rsidRDefault="00664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64A5D"/>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0E50"/>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C5B8D"/>
    <w:rsid w:val="00ED2031"/>
    <w:rsid w:val="00F43F1D"/>
    <w:rsid w:val="00F64776"/>
    <w:rsid w:val="00F6624B"/>
    <w:rsid w:val="00F8685B"/>
    <w:rsid w:val="00FA60C8"/>
    <w:rsid w:val="00FD22E5"/>
    <w:rsid w:val="00FD443E"/>
    <w:rsid w:val="00FD754D"/>
    <w:rsid w:val="0BEC7EA0"/>
    <w:rsid w:val="1576A2FA"/>
    <w:rsid w:val="2A8D465A"/>
    <w:rsid w:val="377B14CF"/>
    <w:rsid w:val="3D7F75F0"/>
    <w:rsid w:val="3E6F579D"/>
    <w:rsid w:val="43E2636A"/>
    <w:rsid w:val="4C1A048F"/>
    <w:rsid w:val="591D3208"/>
    <w:rsid w:val="5D7FC0B4"/>
    <w:rsid w:val="5EDB45D7"/>
    <w:rsid w:val="63E446CD"/>
    <w:rsid w:val="67FF1308"/>
    <w:rsid w:val="6973980F"/>
    <w:rsid w:val="7B7B92D5"/>
    <w:rsid w:val="7FFF4005"/>
    <w:rsid w:val="9C9B318D"/>
    <w:rsid w:val="ADFF0E74"/>
    <w:rsid w:val="BDFEE997"/>
    <w:rsid w:val="BFFCA220"/>
    <w:rsid w:val="CD7F1860"/>
    <w:rsid w:val="CFBFACB0"/>
    <w:rsid w:val="DF7D2917"/>
    <w:rsid w:val="E5F71129"/>
    <w:rsid w:val="F37D43E4"/>
    <w:rsid w:val="FDDBA900"/>
    <w:rsid w:val="FDFBE2E9"/>
    <w:rsid w:val="FDFF7B37"/>
    <w:rsid w:val="FF577B00"/>
    <w:rsid w:val="FF7FF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0C88DB-33EE-4795-BED9-2F37D789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610</Characters>
  <Application>Microsoft Office Word</Application>
  <DocSecurity>0</DocSecurity>
  <Lines>5</Lines>
  <Paragraphs>1</Paragraphs>
  <ScaleCrop>false</ScaleCrop>
  <Company>Xtzj.Com</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2021-06-30T17:27:00Z</cp:lastPrinted>
  <dcterms:created xsi:type="dcterms:W3CDTF">2021-07-05T08:45:00Z</dcterms:created>
  <dcterms:modified xsi:type="dcterms:W3CDTF">2021-07-05T08:45:00Z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